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CDA" w:rsidRDefault="00724646">
      <w:pPr>
        <w:ind w:right="382"/>
        <w:jc w:val="center"/>
        <w:rPr>
          <w:b/>
          <w:color w:val="0000FF"/>
          <w:sz w:val="40"/>
        </w:rPr>
      </w:pPr>
      <w:r>
        <w:rPr>
          <w:noProof/>
        </w:rPr>
        <w:drawing>
          <wp:anchor distT="0" distB="2540" distL="114300" distR="114300" simplePos="0" relativeHeight="2" behindDoc="0" locked="0" layoutInCell="1" allowOverlap="1">
            <wp:simplePos x="0" y="0"/>
            <wp:positionH relativeFrom="column">
              <wp:posOffset>-800100</wp:posOffset>
            </wp:positionH>
            <wp:positionV relativeFrom="paragraph">
              <wp:posOffset>-571500</wp:posOffset>
            </wp:positionV>
            <wp:extent cx="1943100" cy="778510"/>
            <wp:effectExtent l="0" t="0" r="0" b="0"/>
            <wp:wrapNone/>
            <wp:docPr id="1" name="Image 7" descr="logoFirs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logoFirstTF"/>
                    <pic:cNvPicPr>
                      <a:picLocks noChangeAspect="1" noChangeArrowheads="1"/>
                    </pic:cNvPicPr>
                  </pic:nvPicPr>
                  <pic:blipFill>
                    <a:blip r:embed="rId8"/>
                    <a:srcRect t="21590" b="21590"/>
                    <a:stretch>
                      <a:fillRect/>
                    </a:stretch>
                  </pic:blipFill>
                  <pic:spPr bwMode="auto">
                    <a:xfrm>
                      <a:off x="0" y="0"/>
                      <a:ext cx="1943100" cy="778510"/>
                    </a:xfrm>
                    <a:prstGeom prst="rect">
                      <a:avLst/>
                    </a:prstGeom>
                  </pic:spPr>
                </pic:pic>
              </a:graphicData>
            </a:graphic>
          </wp:anchor>
        </w:drawing>
      </w:r>
      <w:r>
        <w:rPr>
          <w:noProof/>
        </w:rPr>
        <w:drawing>
          <wp:anchor distT="0" distB="0" distL="0" distR="0" simplePos="0" relativeHeight="11" behindDoc="0" locked="0" layoutInCell="1" allowOverlap="1">
            <wp:simplePos x="0" y="0"/>
            <wp:positionH relativeFrom="column">
              <wp:posOffset>5602605</wp:posOffset>
            </wp:positionH>
            <wp:positionV relativeFrom="paragraph">
              <wp:posOffset>-572135</wp:posOffset>
            </wp:positionV>
            <wp:extent cx="756920" cy="75692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756920" cy="756920"/>
                    </a:xfrm>
                    <a:prstGeom prst="rect">
                      <a:avLst/>
                    </a:prstGeom>
                  </pic:spPr>
                </pic:pic>
              </a:graphicData>
            </a:graphic>
          </wp:anchor>
        </w:drawing>
      </w:r>
      <w:proofErr w:type="spellStart"/>
      <w:r>
        <w:rPr>
          <w:b/>
          <w:color w:val="0000FF"/>
          <w:sz w:val="40"/>
        </w:rPr>
        <w:t>Labex</w:t>
      </w:r>
      <w:proofErr w:type="spellEnd"/>
      <w:r>
        <w:rPr>
          <w:b/>
          <w:color w:val="0000FF"/>
          <w:sz w:val="40"/>
        </w:rPr>
        <w:t xml:space="preserve"> FIRST-TF</w:t>
      </w:r>
    </w:p>
    <w:p w:rsidR="00C41CDA" w:rsidRDefault="00724646">
      <w:pPr>
        <w:ind w:left="-360" w:right="382"/>
        <w:jc w:val="center"/>
      </w:pPr>
      <w:r>
        <w:rPr>
          <w:b/>
          <w:color w:val="0000FF"/>
          <w:sz w:val="40"/>
        </w:rPr>
        <w:t>Financement de projets pluriannuels – 202</w:t>
      </w:r>
      <w:r w:rsidR="00E16F56">
        <w:rPr>
          <w:b/>
          <w:color w:val="0000FF"/>
          <w:sz w:val="40"/>
        </w:rPr>
        <w:t>1</w:t>
      </w:r>
    </w:p>
    <w:p w:rsidR="00C41CDA" w:rsidRDefault="00C41CDA">
      <w:pPr>
        <w:ind w:left="-360" w:right="382"/>
        <w:jc w:val="center"/>
        <w:rPr>
          <w:b/>
          <w:color w:val="0000FF"/>
          <w:sz w:val="20"/>
          <w:szCs w:val="20"/>
        </w:rPr>
      </w:pPr>
    </w:p>
    <w:p w:rsidR="00C41CDA" w:rsidRDefault="00724646">
      <w:pPr>
        <w:ind w:right="382"/>
        <w:jc w:val="center"/>
        <w:rPr>
          <w:b/>
          <w:sz w:val="28"/>
          <w:szCs w:val="28"/>
        </w:rPr>
      </w:pPr>
      <w:r>
        <w:rPr>
          <w:b/>
          <w:sz w:val="28"/>
          <w:szCs w:val="28"/>
        </w:rPr>
        <w:t xml:space="preserve">Formulaires de réponse et demandes d’informations à adresser à </w:t>
      </w:r>
    </w:p>
    <w:p w:rsidR="00C41CDA" w:rsidRDefault="00415EB2">
      <w:pPr>
        <w:ind w:left="-360" w:right="382"/>
        <w:jc w:val="center"/>
      </w:pPr>
      <w:hyperlink r:id="rId10">
        <w:r w:rsidR="00724646">
          <w:rPr>
            <w:rStyle w:val="LienInternet"/>
            <w:b/>
            <w:sz w:val="28"/>
            <w:szCs w:val="28"/>
          </w:rPr>
          <w:t>ao@first-tf.com</w:t>
        </w:r>
      </w:hyperlink>
      <w:r w:rsidR="00724646">
        <w:rPr>
          <w:b/>
          <w:color w:val="FF0000"/>
          <w:sz w:val="28"/>
          <w:szCs w:val="28"/>
        </w:rPr>
        <w:t xml:space="preserve"> avant le </w:t>
      </w:r>
      <w:r w:rsidR="00C848DD">
        <w:rPr>
          <w:b/>
          <w:color w:val="FF0000"/>
          <w:sz w:val="28"/>
          <w:szCs w:val="28"/>
        </w:rPr>
        <w:t>26 février</w:t>
      </w:r>
      <w:r w:rsidR="00724646">
        <w:rPr>
          <w:b/>
          <w:color w:val="FF0000"/>
          <w:sz w:val="28"/>
          <w:szCs w:val="28"/>
        </w:rPr>
        <w:t xml:space="preserve"> 202</w:t>
      </w:r>
      <w:r w:rsidR="00C848DD">
        <w:rPr>
          <w:b/>
          <w:color w:val="FF0000"/>
          <w:sz w:val="28"/>
          <w:szCs w:val="28"/>
        </w:rPr>
        <w:t>1</w:t>
      </w:r>
    </w:p>
    <w:p w:rsidR="00C41CDA" w:rsidRDefault="00C41CDA">
      <w:pPr>
        <w:rPr>
          <w:b/>
        </w:rPr>
      </w:pPr>
    </w:p>
    <w:p w:rsidR="00C41CDA" w:rsidRDefault="00724646">
      <w:pPr>
        <w:numPr>
          <w:ilvl w:val="0"/>
          <w:numId w:val="2"/>
        </w:numPr>
        <w:rPr>
          <w:b/>
          <w:sz w:val="28"/>
        </w:rPr>
      </w:pPr>
      <w:r>
        <w:rPr>
          <w:b/>
          <w:sz w:val="28"/>
        </w:rPr>
        <w:t>Introduction – Le LABEX FIRST-TF</w:t>
      </w:r>
    </w:p>
    <w:p w:rsidR="00C41CDA" w:rsidRDefault="00C41CDA"/>
    <w:p w:rsidR="00C41CDA" w:rsidRDefault="00724646">
      <w:pPr>
        <w:jc w:val="both"/>
      </w:pPr>
      <w:r>
        <w:t>Le Laboratoire d’Excellence FIRST-TF est un réseau thématique regroupant les acteurs majeurs en France de la métrologie temps-fréquence (laboratoires, industriels, centres techniques, etc.). Au-delà de la création d’un réseau d’expertise, FIRST-TF favorise l’émergence de projets collaboratifs, avec un spectre large d’applications, de la physique fondamentale aux systèmes de positionnement par satellite. La valorisation des innovations des laboratoires et leur transfert vers l’industrie constituent un enjeu majeur de ce réseau, dans le contexte socio-économique actuel où les problématiques de synchronisation sont omniprésentes. Enfin, le réseau FIRST</w:t>
      </w:r>
      <w:r>
        <w:noBreakHyphen/>
        <w:t>TF met en œuvre des offres coordonnées d’enseignement, de formation permanente et de diffusion vers le public et les scolaires, sur la métrologie de l’espace-temps, thématique fascinante à l’interface de nombreux autres champs disciplinaires.</w:t>
      </w:r>
    </w:p>
    <w:p w:rsidR="00C41CDA" w:rsidRDefault="00C41CDA">
      <w:pPr>
        <w:jc w:val="both"/>
      </w:pPr>
    </w:p>
    <w:p w:rsidR="00C41CDA" w:rsidRDefault="00724646">
      <w:pPr>
        <w:numPr>
          <w:ilvl w:val="0"/>
          <w:numId w:val="2"/>
        </w:numPr>
      </w:pPr>
      <w:r>
        <w:rPr>
          <w:b/>
          <w:sz w:val="28"/>
        </w:rPr>
        <w:t>Contexte de l’appel à projets pluriannuel</w:t>
      </w:r>
    </w:p>
    <w:p w:rsidR="00C41CDA" w:rsidRDefault="00C41CDA"/>
    <w:p w:rsidR="00C41CDA" w:rsidRDefault="00724646">
      <w:pPr>
        <w:jc w:val="both"/>
      </w:pPr>
      <w:r>
        <w:t>Cet appel à projets (AAP) pluriannuel 202</w:t>
      </w:r>
      <w:r w:rsidR="00C848DD">
        <w:t>1</w:t>
      </w:r>
      <w:r>
        <w:t xml:space="preserve"> se distingue des précédents </w:t>
      </w:r>
      <w:proofErr w:type="spellStart"/>
      <w:r>
        <w:t>AAP</w:t>
      </w:r>
      <w:r w:rsidR="00EA6A0A">
        <w:t>s</w:t>
      </w:r>
      <w:proofErr w:type="spellEnd"/>
      <w:r>
        <w:t xml:space="preserve"> FIRST-TF (attribution sur base annuelle), et s’effectue en parallèle avec un appel d’offre uni-annuel « traditionnel ». </w:t>
      </w:r>
      <w:r>
        <w:rPr>
          <w:b/>
          <w:bCs/>
        </w:rPr>
        <w:t xml:space="preserve">Les formulaires de demandes sont distincts pour les deux </w:t>
      </w:r>
      <w:proofErr w:type="spellStart"/>
      <w:r>
        <w:rPr>
          <w:b/>
          <w:bCs/>
        </w:rPr>
        <w:t>AAPs</w:t>
      </w:r>
      <w:proofErr w:type="spellEnd"/>
      <w:r>
        <w:rPr>
          <w:b/>
          <w:bCs/>
        </w:rPr>
        <w:t xml:space="preserve"> 202</w:t>
      </w:r>
      <w:r w:rsidR="00C848DD">
        <w:rPr>
          <w:b/>
          <w:bCs/>
        </w:rPr>
        <w:t>1</w:t>
      </w:r>
      <w:r>
        <w:t>.</w:t>
      </w:r>
    </w:p>
    <w:p w:rsidR="00C41CDA" w:rsidRDefault="00C41CDA">
      <w:pPr>
        <w:jc w:val="both"/>
      </w:pPr>
    </w:p>
    <w:p w:rsidR="00F422E4" w:rsidRPr="00F422E4" w:rsidRDefault="00724646">
      <w:pPr>
        <w:jc w:val="both"/>
        <w:rPr>
          <w:color w:val="FF0000"/>
        </w:rPr>
      </w:pPr>
      <w:r>
        <w:t>Concernant l’AAP pluriannuel présenté ici, cette nouvelle forme de financement de la R&amp;D vise à soutenir des projets structurants ambitieux, en offrant une vision projet à plus long-terme, et pour des sommes attribué</w:t>
      </w:r>
      <w:r w:rsidR="00A05E3B">
        <w:t>e</w:t>
      </w:r>
      <w:r w:rsidR="00EA6A0A">
        <w:t>s</w:t>
      </w:r>
      <w:r>
        <w:t xml:space="preserve"> plus importantes </w:t>
      </w:r>
      <w:r w:rsidR="00EA6A0A">
        <w:t>(</w:t>
      </w:r>
      <w:r w:rsidR="00F422E4" w:rsidRPr="00C749AC">
        <w:rPr>
          <w:color w:val="000000" w:themeColor="text1"/>
        </w:rPr>
        <w:t>de 250 jusqu</w:t>
      </w:r>
      <w:r w:rsidR="00872280" w:rsidRPr="00C749AC">
        <w:rPr>
          <w:color w:val="000000" w:themeColor="text1"/>
        </w:rPr>
        <w:t>’</w:t>
      </w:r>
      <w:r w:rsidR="00F422E4" w:rsidRPr="00C749AC">
        <w:rPr>
          <w:color w:val="000000" w:themeColor="text1"/>
        </w:rPr>
        <w:t>à 350 k€ si le projet le justifie</w:t>
      </w:r>
      <w:r w:rsidR="00EA6A0A" w:rsidRPr="00C749AC">
        <w:rPr>
          <w:color w:val="000000" w:themeColor="text1"/>
        </w:rPr>
        <w:t xml:space="preserve">) </w:t>
      </w:r>
      <w:r>
        <w:t xml:space="preserve">que les </w:t>
      </w:r>
      <w:proofErr w:type="spellStart"/>
      <w:r>
        <w:t>AAP</w:t>
      </w:r>
      <w:r w:rsidR="00AF7C27">
        <w:t>s</w:t>
      </w:r>
      <w:proofErr w:type="spellEnd"/>
      <w:r>
        <w:t xml:space="preserve"> traditionnels uni-annuels. Il est attendu que plusieurs publications dans des journaux scientifiques à comité de lecture soient faites au cours ou à l’issue de ces projets.</w:t>
      </w:r>
      <w:r w:rsidR="00F422E4">
        <w:t xml:space="preserve"> </w:t>
      </w:r>
    </w:p>
    <w:p w:rsidR="00C41CDA" w:rsidRDefault="00C41CDA">
      <w:pPr>
        <w:jc w:val="both"/>
      </w:pPr>
    </w:p>
    <w:p w:rsidR="00C41CDA" w:rsidRDefault="00724646">
      <w:pPr>
        <w:jc w:val="both"/>
      </w:pPr>
      <w:r>
        <w:t xml:space="preserve">Par ailleurs, le </w:t>
      </w:r>
      <w:r w:rsidR="00AF7C27">
        <w:t>C</w:t>
      </w:r>
      <w:r>
        <w:t xml:space="preserve">omité de </w:t>
      </w:r>
      <w:r w:rsidR="00AF7C27">
        <w:t>P</w:t>
      </w:r>
      <w:r>
        <w:t>ilotage de FIRST-TF a décidé qu</w:t>
      </w:r>
      <w:r w:rsidR="00AF7C27">
        <w:t>’il n’y aurait pas de</w:t>
      </w:r>
      <w:r>
        <w:rPr>
          <w:b/>
          <w:bCs/>
        </w:rPr>
        <w:t xml:space="preserve"> thématique prioritaire pour les appels à projets pluriannuels</w:t>
      </w:r>
      <w:r>
        <w:t xml:space="preserve">. </w:t>
      </w:r>
      <w:r w:rsidR="00AF7C27" w:rsidRPr="00AF7C27">
        <w:t>Cela ne signifie en aucun cas que les projets présentés qui s’inscriraient dans la thématique mise en avant l’année dernière (</w:t>
      </w:r>
      <w:r w:rsidR="00AF7C27">
        <w:t>“</w:t>
      </w:r>
      <w:r w:rsidR="00AF7C27" w:rsidRPr="00AF7C27">
        <w:t>vers la nouvelle seconde</w:t>
      </w:r>
      <w:r w:rsidR="00AF7C27">
        <w:t>”</w:t>
      </w:r>
      <w:r w:rsidR="00AF7C27" w:rsidRPr="00AF7C27">
        <w:t>) ne seront pas r</w:t>
      </w:r>
      <w:r w:rsidR="00AF7C27">
        <w:t>ec</w:t>
      </w:r>
      <w:r w:rsidR="00AF7C27" w:rsidRPr="00AF7C27">
        <w:t>evables</w:t>
      </w:r>
      <w:r w:rsidR="00AF7C27">
        <w:t xml:space="preserve">. </w:t>
      </w:r>
      <w:r>
        <w:t>Il est ainsi prévu spécifiquement qu</w:t>
      </w:r>
      <w:r w:rsidR="00A05E3B">
        <w:t>’</w:t>
      </w:r>
      <w:r>
        <w:t xml:space="preserve">un ou plusieurs projets </w:t>
      </w:r>
      <w:r w:rsidR="00AF7C27">
        <w:t xml:space="preserve">pluriannuels </w:t>
      </w:r>
      <w:r>
        <w:t>soit financé en 202</w:t>
      </w:r>
      <w:r w:rsidR="00AF7C27">
        <w:t>1</w:t>
      </w:r>
      <w:r>
        <w:t>.</w:t>
      </w:r>
    </w:p>
    <w:p w:rsidR="00C41CDA" w:rsidRDefault="00C41CDA">
      <w:pPr>
        <w:jc w:val="both"/>
      </w:pPr>
    </w:p>
    <w:p w:rsidR="00C41CDA" w:rsidRDefault="00724646">
      <w:pPr>
        <w:jc w:val="both"/>
      </w:pPr>
      <w:r>
        <w:t>Les principaux critères d’évaluation des demandes porteront sur :</w:t>
      </w:r>
    </w:p>
    <w:p w:rsidR="00C41CDA" w:rsidRDefault="00724646">
      <w:pPr>
        <w:numPr>
          <w:ilvl w:val="0"/>
          <w:numId w:val="1"/>
        </w:numPr>
        <w:jc w:val="both"/>
      </w:pPr>
      <w:proofErr w:type="gramStart"/>
      <w:r>
        <w:t>les</w:t>
      </w:r>
      <w:proofErr w:type="gramEnd"/>
      <w:r>
        <w:t xml:space="preserve"> qualités scientifique et technologique du projet ; retombées attendues</w:t>
      </w:r>
    </w:p>
    <w:p w:rsidR="00C41CDA" w:rsidRDefault="00724646">
      <w:pPr>
        <w:numPr>
          <w:ilvl w:val="0"/>
          <w:numId w:val="1"/>
        </w:numPr>
        <w:jc w:val="both"/>
      </w:pPr>
      <w:proofErr w:type="gramStart"/>
      <w:r>
        <w:t>la</w:t>
      </w:r>
      <w:proofErr w:type="gramEnd"/>
      <w:r>
        <w:t xml:space="preserve"> qualité du montage en termes de complémentarité des partenaires et de faisabilité globale du projet</w:t>
      </w:r>
    </w:p>
    <w:p w:rsidR="00C41CDA" w:rsidRDefault="00724646">
      <w:pPr>
        <w:numPr>
          <w:ilvl w:val="0"/>
          <w:numId w:val="1"/>
        </w:numPr>
        <w:jc w:val="both"/>
      </w:pPr>
      <w:proofErr w:type="gramStart"/>
      <w:r>
        <w:t>le</w:t>
      </w:r>
      <w:proofErr w:type="gramEnd"/>
      <w:r>
        <w:t xml:space="preserve"> caractère collaboratif du projet et les synergies entre les partenaires</w:t>
      </w:r>
    </w:p>
    <w:p w:rsidR="00C41CDA" w:rsidRDefault="00C41CDA"/>
    <w:p w:rsidR="00C41CDA" w:rsidRDefault="00724646">
      <w:pPr>
        <w:numPr>
          <w:ilvl w:val="1"/>
          <w:numId w:val="1"/>
        </w:numPr>
        <w:tabs>
          <w:tab w:val="left" w:pos="360"/>
        </w:tabs>
        <w:ind w:left="0"/>
      </w:pPr>
      <w:r>
        <w:rPr>
          <w:b/>
          <w:sz w:val="28"/>
        </w:rPr>
        <w:t>Éligibilité des projets</w:t>
      </w:r>
    </w:p>
    <w:p w:rsidR="00C41CDA" w:rsidRDefault="00C41CDA"/>
    <w:p w:rsidR="00C41CDA" w:rsidRDefault="00724646">
      <w:pPr>
        <w:jc w:val="both"/>
      </w:pPr>
      <w:r>
        <w:lastRenderedPageBreak/>
        <w:t xml:space="preserve">Le projet proposé peut inclure toute structure membre de FIRST-TF (liste en annexe). Il inclura néanmoins </w:t>
      </w:r>
      <w:r>
        <w:rPr>
          <w:b/>
          <w:bCs/>
        </w:rPr>
        <w:t>impérativement un ou plusieurs laboratoires du premier cercle</w:t>
      </w:r>
      <w:r>
        <w:t xml:space="preserve"> dans le montage projet.</w:t>
      </w:r>
    </w:p>
    <w:p w:rsidR="00C41CDA" w:rsidRDefault="00C41CDA">
      <w:pPr>
        <w:jc w:val="both"/>
      </w:pPr>
    </w:p>
    <w:p w:rsidR="00C41CDA" w:rsidRDefault="00724646">
      <w:pPr>
        <w:jc w:val="both"/>
      </w:pPr>
      <w:r>
        <w:t xml:space="preserve">Pour les projets retenus, les financements seront effectués exclusivement dans les laboratoires de recherche publics français membres de FIRST-TF, qu’ils soient du premier ou du deuxième cercle (liste en annexe). La </w:t>
      </w:r>
      <w:r>
        <w:rPr>
          <w:b/>
          <w:bCs/>
        </w:rPr>
        <w:t>tutelle de gestion</w:t>
      </w:r>
      <w:r>
        <w:t xml:space="preserve"> est a priori le CNRS, mais tout ou partie du financement pourra être géré par l’un des autres </w:t>
      </w:r>
      <w:r>
        <w:rPr>
          <w:b/>
          <w:bCs/>
        </w:rPr>
        <w:t>établissements tutelle de FIRST-TF</w:t>
      </w:r>
      <w:r>
        <w:t xml:space="preserve"> (liste en annexe) en cas de nécessité, via l’établissement d’une convention de reversement, et </w:t>
      </w:r>
      <w:r>
        <w:rPr>
          <w:b/>
          <w:bCs/>
        </w:rPr>
        <w:t>à l’exclusion de tout autre établissement</w:t>
      </w:r>
      <w:r>
        <w:t>.</w:t>
      </w:r>
    </w:p>
    <w:p w:rsidR="00C41CDA" w:rsidRDefault="00C41CDA">
      <w:pPr>
        <w:jc w:val="both"/>
      </w:pPr>
    </w:p>
    <w:p w:rsidR="00C41CDA" w:rsidRDefault="00724646">
      <w:pPr>
        <w:jc w:val="both"/>
      </w:pPr>
      <w:r>
        <w:t xml:space="preserve">Les dépenses éligibles sont les dépenses de personnel (CDD ingénieur, financement de thèse partiel ou complet, financement de post-doctorant/CDD chercheur), de fonctionnement, et d’équipement (défini comme achat, hors fluides, de coût unitaire supérieur à 4k€). Il est rappelé expressément que, comme toute dépense </w:t>
      </w:r>
      <w:proofErr w:type="spellStart"/>
      <w:r>
        <w:t>Labex</w:t>
      </w:r>
      <w:proofErr w:type="spellEnd"/>
      <w:r>
        <w:t xml:space="preserve">, </w:t>
      </w:r>
      <w:r>
        <w:rPr>
          <w:b/>
          <w:bCs/>
        </w:rPr>
        <w:t>aucune forme de facturation interne</w:t>
      </w:r>
      <w:r>
        <w:t xml:space="preserve"> </w:t>
      </w:r>
      <w:r>
        <w:rPr>
          <w:b/>
          <w:bCs/>
        </w:rPr>
        <w:t xml:space="preserve">n’est éligible </w:t>
      </w:r>
      <w:r>
        <w:t xml:space="preserve">(frais de fluide, d’accès à des salles blanches, </w:t>
      </w:r>
      <w:r>
        <w:rPr>
          <w:i/>
          <w:iCs/>
        </w:rPr>
        <w:t>etc.</w:t>
      </w:r>
      <w:r>
        <w:t>), que ce soit entre ou au sein des établissements partenaires (liste en annexe).</w:t>
      </w:r>
    </w:p>
    <w:p w:rsidR="00C41CDA" w:rsidRDefault="00C41CDA">
      <w:pPr>
        <w:jc w:val="both"/>
      </w:pPr>
    </w:p>
    <w:p w:rsidR="00C41CDA" w:rsidRDefault="00C41CDA">
      <w:pPr>
        <w:jc w:val="both"/>
      </w:pPr>
    </w:p>
    <w:p w:rsidR="00C41CDA" w:rsidRDefault="00724646">
      <w:pPr>
        <w:numPr>
          <w:ilvl w:val="0"/>
          <w:numId w:val="3"/>
        </w:numPr>
      </w:pPr>
      <w:r>
        <w:rPr>
          <w:b/>
          <w:sz w:val="28"/>
        </w:rPr>
        <w:t>Suivi des projets</w:t>
      </w:r>
    </w:p>
    <w:p w:rsidR="00C41CDA" w:rsidRDefault="00C41CDA">
      <w:pPr>
        <w:rPr>
          <w:b/>
          <w:sz w:val="28"/>
        </w:rPr>
      </w:pPr>
    </w:p>
    <w:p w:rsidR="00C41CDA" w:rsidRDefault="00724646">
      <w:pPr>
        <w:jc w:val="both"/>
      </w:pPr>
      <w:r>
        <w:t>Les projets financés sur l’AAP pluriannuel 202</w:t>
      </w:r>
      <w:r w:rsidR="00AF7C27">
        <w:t>1</w:t>
      </w:r>
      <w:r>
        <w:t xml:space="preserve"> seront soumis à un suivi rigoureux par le </w:t>
      </w:r>
      <w:r w:rsidR="00AF7C27">
        <w:t>C</w:t>
      </w:r>
      <w:r>
        <w:t xml:space="preserve">omité de </w:t>
      </w:r>
      <w:r w:rsidR="00AF7C27">
        <w:t>P</w:t>
      </w:r>
      <w:r>
        <w:t xml:space="preserve">ilotage FIRST-TF. En particulier </w:t>
      </w:r>
      <w:r>
        <w:rPr>
          <w:b/>
          <w:bCs/>
        </w:rPr>
        <w:t>un très court rapport</w:t>
      </w:r>
      <w:r>
        <w:t xml:space="preserve"> (1 à 2 paragraphes sur 1/2 page grand maximum) devra être fourni </w:t>
      </w:r>
      <w:r>
        <w:rPr>
          <w:b/>
          <w:bCs/>
        </w:rPr>
        <w:t>tous les 3 mois</w:t>
      </w:r>
      <w:r>
        <w:t xml:space="preserve">, à partir de la date de début choisie du projet, présentant de manière purement factuelle et concise les actions qui ont été menées depuis le dernier rapport en vue de l’accomplissement du projet. Aucun autre rapport ne sera demandé. En outre une </w:t>
      </w:r>
      <w:r>
        <w:rPr>
          <w:b/>
          <w:bCs/>
        </w:rPr>
        <w:t>présentation annuelle de l’état d’avancement</w:t>
      </w:r>
      <w:r>
        <w:t xml:space="preserve"> devra être faite par les porteurs du projet devant un comité de suivi choisi, pour chaque projet retenu, par le </w:t>
      </w:r>
      <w:r w:rsidR="00AF7C27">
        <w:t>C</w:t>
      </w:r>
      <w:r>
        <w:t xml:space="preserve">omité de </w:t>
      </w:r>
      <w:r w:rsidR="00AF7C27">
        <w:t>P</w:t>
      </w:r>
      <w:r>
        <w:t>ilotage FIRST-TF. Les frais de mission correspondants à ces présentations ne doivent pas être budgétisés dans le plan de financement, et seront pris en charge indépendamment par FIRST-TF. Cette procédure de suivi aura pour but de prendre en compte et d’anticiper toute difficulté pouvant avoir lieu dans le cadre du projet, et d’aider à les résoudre autant que faire se peut.</w:t>
      </w:r>
    </w:p>
    <w:p w:rsidR="00C41CDA" w:rsidRDefault="00C41CDA">
      <w:pPr>
        <w:jc w:val="both"/>
      </w:pPr>
    </w:p>
    <w:p w:rsidR="00C41CDA" w:rsidRDefault="00C41CDA"/>
    <w:p w:rsidR="00C41CDA" w:rsidRDefault="00724646">
      <w:pPr>
        <w:numPr>
          <w:ilvl w:val="0"/>
          <w:numId w:val="3"/>
        </w:numPr>
      </w:pPr>
      <w:r>
        <w:rPr>
          <w:b/>
          <w:sz w:val="28"/>
        </w:rPr>
        <w:t>Cibles</w:t>
      </w:r>
    </w:p>
    <w:p w:rsidR="00C41CDA" w:rsidRDefault="00C41CDA">
      <w:pPr>
        <w:rPr>
          <w:b/>
          <w:sz w:val="28"/>
        </w:rPr>
      </w:pPr>
    </w:p>
    <w:p w:rsidR="00C41CDA" w:rsidRPr="00C749AC" w:rsidRDefault="00724646">
      <w:pPr>
        <w:jc w:val="both"/>
        <w:rPr>
          <w:color w:val="000000" w:themeColor="text1"/>
        </w:rPr>
      </w:pPr>
      <w:r>
        <w:t xml:space="preserve">Si le montage des projets est laissé à la libre appréciation des porteurs, pour information, le projet type cible correspond à une enveloppe totale </w:t>
      </w:r>
      <w:r w:rsidR="00872280" w:rsidRPr="00C749AC">
        <w:rPr>
          <w:color w:val="000000" w:themeColor="text1"/>
        </w:rPr>
        <w:t>d’</w:t>
      </w:r>
      <w:r w:rsidR="00F422E4" w:rsidRPr="00C749AC">
        <w:rPr>
          <w:color w:val="000000" w:themeColor="text1"/>
        </w:rPr>
        <w:t>environ</w:t>
      </w:r>
      <w:r w:rsidRPr="00C749AC">
        <w:rPr>
          <w:color w:val="000000" w:themeColor="text1"/>
        </w:rPr>
        <w:t xml:space="preserve"> </w:t>
      </w:r>
      <w:r w:rsidR="00AF7C27" w:rsidRPr="00C749AC">
        <w:rPr>
          <w:color w:val="000000" w:themeColor="text1"/>
        </w:rPr>
        <w:t>25</w:t>
      </w:r>
      <w:r w:rsidRPr="00C749AC">
        <w:rPr>
          <w:color w:val="000000" w:themeColor="text1"/>
        </w:rPr>
        <w:t>0 à 350</w:t>
      </w:r>
      <w:r w:rsidR="00AF7C27" w:rsidRPr="00C749AC">
        <w:rPr>
          <w:color w:val="000000" w:themeColor="text1"/>
        </w:rPr>
        <w:t xml:space="preserve"> </w:t>
      </w:r>
      <w:r w:rsidRPr="00C749AC">
        <w:rPr>
          <w:color w:val="000000" w:themeColor="text1"/>
        </w:rPr>
        <w:t xml:space="preserve">k€ </w:t>
      </w:r>
      <w:r w:rsidR="00F422E4" w:rsidRPr="00C749AC">
        <w:rPr>
          <w:color w:val="000000" w:themeColor="text1"/>
        </w:rPr>
        <w:t>si le projet le justifie</w:t>
      </w:r>
      <w:r w:rsidRPr="00C749AC">
        <w:rPr>
          <w:color w:val="000000" w:themeColor="text1"/>
        </w:rPr>
        <w:t xml:space="preserve">. Il est souhaitable que des financements de personnels en CDD (thèse en particulier) soient prévus pour travailler chez chacun des partenaires. Une durée cible du projet de 3 ans est souhaitée et, en tout état de cause, l’ensemble des dépenses effectuées devra faire lieu d’une justification financière au plus tard </w:t>
      </w:r>
      <w:r w:rsidR="005627F5" w:rsidRPr="00C749AC">
        <w:rPr>
          <w:color w:val="000000" w:themeColor="text1"/>
        </w:rPr>
        <w:t>fin</w:t>
      </w:r>
      <w:r w:rsidRPr="00C749AC">
        <w:rPr>
          <w:color w:val="000000" w:themeColor="text1"/>
        </w:rPr>
        <w:t xml:space="preserve"> 2024.</w:t>
      </w:r>
    </w:p>
    <w:p w:rsidR="00C41CDA" w:rsidRDefault="00C41CDA">
      <w:pPr>
        <w:rPr>
          <w:b/>
          <w:sz w:val="28"/>
        </w:rPr>
      </w:pPr>
    </w:p>
    <w:p w:rsidR="00C41CDA" w:rsidRDefault="00C41CDA">
      <w:pPr>
        <w:rPr>
          <w:b/>
          <w:sz w:val="28"/>
        </w:rPr>
      </w:pPr>
    </w:p>
    <w:p w:rsidR="00E16F56" w:rsidRDefault="00E16F56">
      <w:pPr>
        <w:rPr>
          <w:b/>
          <w:sz w:val="28"/>
        </w:rPr>
      </w:pPr>
    </w:p>
    <w:p w:rsidR="00E16F56" w:rsidRDefault="00E16F56">
      <w:pPr>
        <w:rPr>
          <w:b/>
          <w:sz w:val="28"/>
        </w:rPr>
      </w:pPr>
    </w:p>
    <w:p w:rsidR="00E16F56" w:rsidRDefault="00E16F56">
      <w:pPr>
        <w:rPr>
          <w:b/>
          <w:sz w:val="28"/>
        </w:rPr>
      </w:pPr>
    </w:p>
    <w:p w:rsidR="00C41CDA" w:rsidRDefault="00724646">
      <w:pPr>
        <w:numPr>
          <w:ilvl w:val="0"/>
          <w:numId w:val="3"/>
        </w:numPr>
      </w:pPr>
      <w:r>
        <w:rPr>
          <w:b/>
          <w:sz w:val="28"/>
        </w:rPr>
        <w:lastRenderedPageBreak/>
        <w:t>Calendrier</w:t>
      </w:r>
    </w:p>
    <w:p w:rsidR="00C41CDA" w:rsidRDefault="00C41CDA">
      <w:pPr>
        <w:rPr>
          <w:b/>
          <w:sz w:val="28"/>
        </w:rPr>
      </w:pPr>
    </w:p>
    <w:p w:rsidR="00C41CDA" w:rsidRDefault="00C41CDA"/>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9"/>
        <w:gridCol w:w="7171"/>
      </w:tblGrid>
      <w:tr w:rsidR="00C41CDA">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Default="00724646">
            <w:r>
              <w:rPr>
                <w:sz w:val="22"/>
              </w:rPr>
              <w:t>1</w:t>
            </w:r>
            <w:r w:rsidR="00AF7C27">
              <w:rPr>
                <w:sz w:val="22"/>
              </w:rPr>
              <w:t>5</w:t>
            </w:r>
            <w:r>
              <w:rPr>
                <w:sz w:val="22"/>
              </w:rPr>
              <w:t xml:space="preserve"> </w:t>
            </w:r>
            <w:r w:rsidR="00AF7C27">
              <w:rPr>
                <w:sz w:val="22"/>
              </w:rPr>
              <w:t>janvier</w:t>
            </w:r>
            <w:r>
              <w:rPr>
                <w:sz w:val="22"/>
              </w:rPr>
              <w:t xml:space="preserve"> 202</w:t>
            </w:r>
            <w:r w:rsidR="00AF7C27">
              <w:rPr>
                <w:sz w:val="22"/>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Default="00724646">
            <w:pPr>
              <w:rPr>
                <w:sz w:val="22"/>
              </w:rPr>
            </w:pPr>
            <w:r>
              <w:rPr>
                <w:sz w:val="22"/>
              </w:rPr>
              <w:t>Lancement de l’appel à projets « Soutien à projets »</w:t>
            </w:r>
          </w:p>
        </w:tc>
      </w:tr>
      <w:tr w:rsidR="00C41CDA">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Default="00AF7C27">
            <w:r>
              <w:rPr>
                <w:sz w:val="22"/>
              </w:rPr>
              <w:t>26 février</w:t>
            </w:r>
            <w:r w:rsidR="00724646">
              <w:rPr>
                <w:sz w:val="22"/>
              </w:rPr>
              <w:t xml:space="preserve"> 202</w:t>
            </w:r>
            <w:r>
              <w:rPr>
                <w:sz w:val="22"/>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Default="00724646">
            <w:r>
              <w:rPr>
                <w:sz w:val="22"/>
              </w:rPr>
              <w:t xml:space="preserve">Date limite d’envoi des projets à l’adresse </w:t>
            </w:r>
            <w:hyperlink r:id="rId11">
              <w:r>
                <w:rPr>
                  <w:rStyle w:val="LienInternet"/>
                  <w:sz w:val="22"/>
                </w:rPr>
                <w:t>ao@first-tf.com</w:t>
              </w:r>
            </w:hyperlink>
            <w:r>
              <w:rPr>
                <w:sz w:val="22"/>
              </w:rPr>
              <w:t xml:space="preserve"> </w:t>
            </w:r>
          </w:p>
        </w:tc>
      </w:tr>
      <w:tr w:rsidR="00C41CDA">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Default="00724646">
            <w:r>
              <w:rPr>
                <w:sz w:val="22"/>
              </w:rPr>
              <w:t>À partir du</w:t>
            </w:r>
          </w:p>
          <w:p w:rsidR="00C41CDA" w:rsidRDefault="00AF7C27">
            <w:r>
              <w:rPr>
                <w:sz w:val="22"/>
              </w:rPr>
              <w:t>0</w:t>
            </w:r>
            <w:r w:rsidR="00724646">
              <w:rPr>
                <w:sz w:val="22"/>
              </w:rPr>
              <w:t>5 avril 202</w:t>
            </w:r>
            <w:r>
              <w:rPr>
                <w:sz w:val="22"/>
              </w:rPr>
              <w:t>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Default="00724646">
            <w:r>
              <w:rPr>
                <w:sz w:val="22"/>
              </w:rPr>
              <w:t>Attribution des crédits aux projets retenus.</w:t>
            </w:r>
          </w:p>
        </w:tc>
      </w:tr>
      <w:tr w:rsidR="00872280" w:rsidRPr="00872280">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Pr="00C749AC" w:rsidRDefault="00F422E4">
            <w:pPr>
              <w:rPr>
                <w:color w:val="000000" w:themeColor="text1"/>
              </w:rPr>
            </w:pPr>
            <w:r w:rsidRPr="00C749AC">
              <w:rPr>
                <w:color w:val="000000" w:themeColor="text1"/>
              </w:rPr>
              <w:t>Fin</w:t>
            </w:r>
            <w:r w:rsidR="00724646" w:rsidRPr="00C749AC">
              <w:rPr>
                <w:color w:val="000000" w:themeColor="text1"/>
              </w:rPr>
              <w:t xml:space="preserve"> 2024</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CDA" w:rsidRPr="00C749AC" w:rsidRDefault="00724646">
            <w:pPr>
              <w:rPr>
                <w:color w:val="000000" w:themeColor="text1"/>
              </w:rPr>
            </w:pPr>
            <w:r w:rsidRPr="00C749AC">
              <w:rPr>
                <w:color w:val="000000" w:themeColor="text1"/>
              </w:rPr>
              <w:t>Date limite de fin complète de projet et justification financière</w:t>
            </w:r>
          </w:p>
        </w:tc>
      </w:tr>
    </w:tbl>
    <w:p w:rsidR="00C41CDA" w:rsidRDefault="00C41CDA"/>
    <w:p w:rsidR="00C41CDA" w:rsidRDefault="00C41CDA"/>
    <w:p w:rsidR="00C41CDA" w:rsidRDefault="00724646">
      <w:pPr>
        <w:numPr>
          <w:ilvl w:val="0"/>
          <w:numId w:val="3"/>
        </w:numPr>
        <w:rPr>
          <w:b/>
          <w:sz w:val="28"/>
        </w:rPr>
      </w:pPr>
      <w:r>
        <w:rPr>
          <w:b/>
          <w:sz w:val="28"/>
        </w:rPr>
        <w:t>Constitution du dossier</w:t>
      </w:r>
    </w:p>
    <w:p w:rsidR="00C41CDA" w:rsidRDefault="00C41CDA"/>
    <w:p w:rsidR="00C41CDA" w:rsidRDefault="00724646">
      <w:pPr>
        <w:jc w:val="both"/>
      </w:pPr>
      <w:r>
        <w:rPr>
          <w:b/>
        </w:rPr>
        <w:t xml:space="preserve">Le dossier de candidature complété est à envoyer à </w:t>
      </w:r>
      <w:hyperlink r:id="rId12">
        <w:r>
          <w:rPr>
            <w:rStyle w:val="LienInternet"/>
            <w:b/>
          </w:rPr>
          <w:t>ao@first-tf.com</w:t>
        </w:r>
      </w:hyperlink>
      <w:r>
        <w:rPr>
          <w:b/>
        </w:rPr>
        <w:t xml:space="preserve"> sous formats .doc(x), .</w:t>
      </w:r>
      <w:proofErr w:type="spellStart"/>
      <w:r>
        <w:rPr>
          <w:b/>
        </w:rPr>
        <w:t>odt</w:t>
      </w:r>
      <w:proofErr w:type="spellEnd"/>
      <w:r>
        <w:rPr>
          <w:b/>
        </w:rPr>
        <w:t xml:space="preserve"> </w:t>
      </w:r>
      <w:proofErr w:type="gramStart"/>
      <w:r>
        <w:rPr>
          <w:b/>
        </w:rPr>
        <w:t>ou</w:t>
      </w:r>
      <w:proofErr w:type="gramEnd"/>
      <w:r>
        <w:rPr>
          <w:b/>
        </w:rPr>
        <w:t xml:space="preserve"> .</w:t>
      </w:r>
      <w:proofErr w:type="spellStart"/>
      <w:r>
        <w:rPr>
          <w:b/>
        </w:rPr>
        <w:t>pdf</w:t>
      </w:r>
      <w:proofErr w:type="spellEnd"/>
      <w:r>
        <w:rPr>
          <w:b/>
        </w:rPr>
        <w:t xml:space="preserve"> avant le </w:t>
      </w:r>
      <w:r w:rsidR="00AF7C27">
        <w:rPr>
          <w:b/>
        </w:rPr>
        <w:t>26 février</w:t>
      </w:r>
      <w:r>
        <w:rPr>
          <w:b/>
        </w:rPr>
        <w:t xml:space="preserve"> 202</w:t>
      </w:r>
      <w:r w:rsidR="00AF7C27">
        <w:rPr>
          <w:b/>
        </w:rPr>
        <w:t>1</w:t>
      </w:r>
      <w:r>
        <w:rPr>
          <w:b/>
        </w:rPr>
        <w:t xml:space="preserve"> pour une version non signée. Les versions signées devront être transmise</w:t>
      </w:r>
      <w:r w:rsidR="00AF7C27">
        <w:rPr>
          <w:b/>
        </w:rPr>
        <w:t>s</w:t>
      </w:r>
      <w:r>
        <w:rPr>
          <w:b/>
        </w:rPr>
        <w:t xml:space="preserve"> à la même adresse en .</w:t>
      </w:r>
      <w:proofErr w:type="spellStart"/>
      <w:r>
        <w:rPr>
          <w:b/>
        </w:rPr>
        <w:t>pdf</w:t>
      </w:r>
      <w:proofErr w:type="spellEnd"/>
      <w:r>
        <w:rPr>
          <w:b/>
        </w:rPr>
        <w:t xml:space="preserve">, au plus tard au </w:t>
      </w:r>
      <w:r w:rsidR="00AF7C27">
        <w:rPr>
          <w:b/>
        </w:rPr>
        <w:t xml:space="preserve">08 mars </w:t>
      </w:r>
      <w:r>
        <w:rPr>
          <w:b/>
        </w:rPr>
        <w:t>202</w:t>
      </w:r>
      <w:r w:rsidR="00AF7C27">
        <w:rPr>
          <w:b/>
        </w:rPr>
        <w:t>1</w:t>
      </w:r>
      <w:r>
        <w:rPr>
          <w:b/>
        </w:rPr>
        <w:t>.</w:t>
      </w:r>
    </w:p>
    <w:p w:rsidR="00C41CDA" w:rsidRDefault="00C41CDA">
      <w:pPr>
        <w:jc w:val="both"/>
        <w:rPr>
          <w:b/>
        </w:rPr>
      </w:pPr>
    </w:p>
    <w:p w:rsidR="00C41CDA" w:rsidRDefault="00724646">
      <w:pPr>
        <w:jc w:val="both"/>
      </w:pPr>
      <w:r>
        <w:rPr>
          <w:b/>
        </w:rPr>
        <w:t>Le dossier peut être rédigé en français ou anglais indistinctement.</w:t>
      </w:r>
    </w:p>
    <w:p w:rsidR="00C41CDA" w:rsidRDefault="00C41CDA">
      <w:pPr>
        <w:jc w:val="both"/>
        <w:rPr>
          <w:b/>
          <w:sz w:val="28"/>
        </w:rPr>
      </w:pPr>
    </w:p>
    <w:p w:rsidR="00C41CDA" w:rsidRDefault="00C41CDA">
      <w:pPr>
        <w:jc w:val="both"/>
        <w:rPr>
          <w:b/>
          <w:sz w:val="28"/>
        </w:rPr>
      </w:pPr>
    </w:p>
    <w:p w:rsidR="00C41CDA" w:rsidRDefault="00C41CDA">
      <w:pPr>
        <w:jc w:val="center"/>
        <w:rPr>
          <w:b/>
          <w:sz w:val="28"/>
        </w:rPr>
      </w:pPr>
    </w:p>
    <w:p w:rsidR="00C41CDA" w:rsidRDefault="00C41CDA">
      <w:pPr>
        <w:jc w:val="center"/>
        <w:rPr>
          <w:b/>
          <w:sz w:val="28"/>
        </w:rPr>
      </w:pPr>
    </w:p>
    <w:p w:rsidR="00C41CDA" w:rsidRDefault="00724646">
      <w:pPr>
        <w:jc w:val="center"/>
      </w:pPr>
      <w:r>
        <w:rPr>
          <w:b/>
          <w:sz w:val="28"/>
        </w:rPr>
        <w:t>ANNEXE 1 – Liste des membres de FIRST-TF (février 2020)</w:t>
      </w:r>
    </w:p>
    <w:p w:rsidR="00C41CDA" w:rsidRDefault="00C41CDA">
      <w:pPr>
        <w:jc w:val="both"/>
        <w:rPr>
          <w:color w:val="0000FF"/>
          <w:sz w:val="26"/>
        </w:rPr>
      </w:pPr>
    </w:p>
    <w:p w:rsidR="00C41CDA" w:rsidRDefault="00724646">
      <w:pPr>
        <w:jc w:val="both"/>
        <w:rPr>
          <w:b/>
          <w:i/>
          <w:color w:val="0000FF"/>
          <w:sz w:val="26"/>
        </w:rPr>
      </w:pPr>
      <w:r>
        <w:rPr>
          <w:rFonts w:eastAsia="Wingdings" w:cs="Wingdings"/>
          <w:b/>
          <w:i/>
          <w:color w:val="0000FF"/>
          <w:sz w:val="26"/>
        </w:rPr>
        <w:t xml:space="preserve">→ </w:t>
      </w:r>
      <w:r>
        <w:rPr>
          <w:b/>
          <w:i/>
          <w:color w:val="0000FF"/>
          <w:sz w:val="26"/>
        </w:rPr>
        <w:t>Laboratoires du premier cercle</w:t>
      </w:r>
    </w:p>
    <w:p w:rsidR="00AF7C27" w:rsidRDefault="00AF7C27">
      <w:pPr>
        <w:jc w:val="both"/>
      </w:pPr>
    </w:p>
    <w:tbl>
      <w:tblPr>
        <w:tblW w:w="3402"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402"/>
      </w:tblGrid>
      <w:tr w:rsidR="00C41CDA">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Calibri" w:hAnsi="Calibri"/>
                <w:color w:val="000000"/>
                <w:sz w:val="22"/>
                <w:szCs w:val="22"/>
              </w:rPr>
            </w:pPr>
            <w:r>
              <w:rPr>
                <w:rFonts w:ascii="Liberation Sans" w:hAnsi="Liberation Sans"/>
                <w:color w:val="000000"/>
                <w:sz w:val="20"/>
                <w:szCs w:val="20"/>
              </w:rPr>
              <w:t>FEMTO-ST</w:t>
            </w:r>
          </w:p>
        </w:tc>
      </w:tr>
      <w:tr w:rsidR="00C41CDA">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Calibri" w:hAnsi="Calibri"/>
                <w:color w:val="000000"/>
                <w:sz w:val="22"/>
                <w:szCs w:val="22"/>
              </w:rPr>
            </w:pPr>
            <w:r>
              <w:rPr>
                <w:rFonts w:ascii="Liberation Sans" w:hAnsi="Liberation Sans"/>
                <w:color w:val="000000"/>
                <w:sz w:val="20"/>
                <w:szCs w:val="20"/>
              </w:rPr>
              <w:t>GEOAZUR</w:t>
            </w:r>
          </w:p>
        </w:tc>
      </w:tr>
      <w:tr w:rsidR="00C41CDA">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Calibri" w:hAnsi="Calibri"/>
                <w:color w:val="000000"/>
                <w:sz w:val="22"/>
                <w:szCs w:val="22"/>
              </w:rPr>
            </w:pPr>
            <w:r>
              <w:rPr>
                <w:rFonts w:ascii="Liberation Sans" w:hAnsi="Liberation Sans"/>
                <w:color w:val="000000"/>
                <w:sz w:val="20"/>
                <w:szCs w:val="20"/>
              </w:rPr>
              <w:t>LPL</w:t>
            </w:r>
          </w:p>
        </w:tc>
      </w:tr>
      <w:tr w:rsidR="00C41CDA">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SYRTE</w:t>
            </w:r>
          </w:p>
        </w:tc>
      </w:tr>
      <w:tr w:rsidR="00C41CDA">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Calibri" w:hAnsi="Calibri"/>
                <w:color w:val="000000"/>
                <w:sz w:val="22"/>
                <w:szCs w:val="22"/>
              </w:rPr>
            </w:pPr>
            <w:r>
              <w:rPr>
                <w:rFonts w:ascii="Liberation Sans" w:hAnsi="Liberation Sans"/>
                <w:color w:val="000000"/>
                <w:sz w:val="20"/>
                <w:szCs w:val="20"/>
              </w:rPr>
              <w:t>UTINAM</w:t>
            </w:r>
          </w:p>
        </w:tc>
      </w:tr>
    </w:tbl>
    <w:p w:rsidR="00C41CDA" w:rsidRDefault="00C41CDA">
      <w:pPr>
        <w:pStyle w:val="Corpsdetexte"/>
      </w:pPr>
    </w:p>
    <w:p w:rsidR="00C41CDA" w:rsidRDefault="00724646">
      <w:pPr>
        <w:jc w:val="both"/>
        <w:rPr>
          <w:b/>
          <w:i/>
          <w:color w:val="0000FF"/>
          <w:sz w:val="26"/>
        </w:rPr>
      </w:pPr>
      <w:r>
        <w:rPr>
          <w:rFonts w:eastAsia="Wingdings" w:cs="Wingdings"/>
          <w:b/>
          <w:i/>
          <w:color w:val="0000FF"/>
          <w:sz w:val="26"/>
        </w:rPr>
        <w:t xml:space="preserve">→ </w:t>
      </w:r>
      <w:r>
        <w:rPr>
          <w:b/>
          <w:i/>
          <w:color w:val="0000FF"/>
          <w:sz w:val="26"/>
        </w:rPr>
        <w:t>Laboratoires du second cercle</w:t>
      </w:r>
    </w:p>
    <w:p w:rsidR="00AF7C27" w:rsidRDefault="00AF7C27">
      <w:pPr>
        <w:jc w:val="both"/>
      </w:pPr>
    </w:p>
    <w:tbl>
      <w:tblPr>
        <w:tblW w:w="453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4537"/>
      </w:tblGrid>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APC</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ARTEMIS</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sz w:val="20"/>
                <w:szCs w:val="20"/>
              </w:rPr>
            </w:pPr>
            <w:r>
              <w:rPr>
                <w:sz w:val="20"/>
                <w:szCs w:val="20"/>
              </w:rPr>
              <w:t>ICGM</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IEMN</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r>
              <w:rPr>
                <w:rFonts w:ascii="Liberation Sans" w:hAnsi="Liberation Sans"/>
                <w:color w:val="000000"/>
                <w:sz w:val="20"/>
                <w:szCs w:val="20"/>
              </w:rPr>
              <w:t>Institut FOTON</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LAAS</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lastRenderedPageBreak/>
              <w:t>LAGRANGE</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LAREG</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LCAR</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LCF</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LCM</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LERMA</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sz w:val="20"/>
                <w:szCs w:val="20"/>
              </w:rPr>
              <w:t>LIHY</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LKB</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LP2N</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MPQ</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PHLAM</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PIIM</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SPINTEC</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AF7C27">
            <w:pPr>
              <w:rPr>
                <w:rFonts w:ascii="Liberation Sans" w:hAnsi="Liberation Sans" w:hint="eastAsia"/>
                <w:sz w:val="20"/>
                <w:szCs w:val="20"/>
              </w:rPr>
            </w:pPr>
            <w:r>
              <w:rPr>
                <w:rFonts w:ascii="Liberation Sans" w:hAnsi="Liberation Sans"/>
                <w:color w:val="000000"/>
                <w:sz w:val="20"/>
                <w:szCs w:val="20"/>
              </w:rPr>
              <w:t xml:space="preserve">UMPHY </w:t>
            </w:r>
            <w:r w:rsidR="00724646">
              <w:rPr>
                <w:rFonts w:ascii="Liberation Sans" w:hAnsi="Liberation Sans"/>
                <w:color w:val="000000"/>
                <w:sz w:val="20"/>
                <w:szCs w:val="20"/>
              </w:rPr>
              <w:t>Unité mixte de recherche CNRS-Thales</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USN</w:t>
            </w:r>
          </w:p>
        </w:tc>
      </w:tr>
      <w:tr w:rsidR="00C41CDA" w:rsidTr="00AF7C2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XLIM</w:t>
            </w:r>
          </w:p>
        </w:tc>
      </w:tr>
    </w:tbl>
    <w:p w:rsidR="00C41CDA" w:rsidRDefault="00C41CDA"/>
    <w:p w:rsidR="00C41CDA" w:rsidRDefault="00C41CDA">
      <w:pPr>
        <w:jc w:val="both"/>
        <w:rPr>
          <w:rFonts w:ascii="Wingdings" w:eastAsia="Wingdings" w:hAnsi="Wingdings" w:cs="Wingdings"/>
          <w:color w:val="0000FF"/>
          <w:sz w:val="26"/>
        </w:rPr>
      </w:pPr>
    </w:p>
    <w:p w:rsidR="00C41CDA" w:rsidRDefault="00724646">
      <w:pPr>
        <w:jc w:val="both"/>
      </w:pPr>
      <w:r>
        <w:rPr>
          <w:b/>
          <w:i/>
          <w:color w:val="0000FF"/>
          <w:sz w:val="26"/>
        </w:rPr>
        <w:t>→ Industriels et conseils en France</w:t>
      </w:r>
    </w:p>
    <w:p w:rsidR="00C41CDA" w:rsidRDefault="00C41CDA">
      <w:pPr>
        <w:jc w:val="both"/>
        <w:rPr>
          <w:b/>
          <w:i/>
          <w:color w:val="0000FF"/>
          <w:sz w:val="26"/>
        </w:rPr>
      </w:pPr>
    </w:p>
    <w:tbl>
      <w:tblPr>
        <w:tblW w:w="3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754"/>
      </w:tblGrid>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III-V LAB</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AIRBUS DEFENCE &amp; SPACE</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AR-ELECTRONIQUE</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ARMADEUS SYSTEMS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sz w:val="20"/>
                <w:szCs w:val="20"/>
              </w:rPr>
              <w:t>AUBRY CONSEIL</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BODET</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sz w:val="20"/>
                <w:szCs w:val="20"/>
              </w:rPr>
              <w:t>CNRS INNOVATION</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CRISTALINNOV</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FDC</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 xml:space="preserve">FREC'N'SYS </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GORGY TIMING</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HITIM GROUP (GEMMA)</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IDIL</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KEYSIGHT TECHNOLOGIES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MUQUANS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NAVAL GROUP</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ORANGE</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RAKON</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proofErr w:type="spellStart"/>
            <w:r>
              <w:rPr>
                <w:rFonts w:ascii="Liberation Sans" w:hAnsi="Liberation Sans"/>
                <w:sz w:val="20"/>
                <w:szCs w:val="20"/>
              </w:rPr>
              <w:t>SCPTime</w:t>
            </w:r>
            <w:proofErr w:type="spellEnd"/>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SENSEOR</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sz w:val="20"/>
                <w:szCs w:val="20"/>
              </w:rPr>
              <w:t>SIGMAWORKS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SODERN</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SPECTRACOM</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SPHEREA TEST &amp; SERVICES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SYRLINKS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THALES ALENIA SPACE</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lastRenderedPageBreak/>
              <w:t>THALES AVIONIC SYSTEMS FRANCE</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THALES RESEARCH &amp; TECHNOLOGY</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TIMELINK MICROSYSTEMS</w:t>
            </w:r>
          </w:p>
        </w:tc>
      </w:tr>
      <w:tr w:rsidR="00C41CDA">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TRONICS</w:t>
            </w:r>
          </w:p>
        </w:tc>
      </w:tr>
    </w:tbl>
    <w:p w:rsidR="00C41CDA" w:rsidRDefault="00C41CDA"/>
    <w:p w:rsidR="00C41CDA" w:rsidRDefault="00C41CDA"/>
    <w:p w:rsidR="00C41CDA" w:rsidRDefault="00724646">
      <w:pPr>
        <w:jc w:val="both"/>
      </w:pPr>
      <w:r>
        <w:rPr>
          <w:b/>
          <w:i/>
          <w:color w:val="0000FF"/>
          <w:sz w:val="26"/>
        </w:rPr>
        <w:t>→ Centres techniques, agences</w:t>
      </w:r>
    </w:p>
    <w:p w:rsidR="00C41CDA" w:rsidRDefault="00C41CDA">
      <w:pPr>
        <w:jc w:val="both"/>
        <w:rPr>
          <w:b/>
          <w:i/>
          <w:color w:val="0000FF"/>
          <w:sz w:val="26"/>
        </w:rPr>
      </w:pPr>
    </w:p>
    <w:tbl>
      <w:tblPr>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681"/>
      </w:tblGrid>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CNES</w:t>
            </w:r>
          </w:p>
        </w:tc>
      </w:tr>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DGA</w:t>
            </w:r>
          </w:p>
        </w:tc>
      </w:tr>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ONERA</w:t>
            </w:r>
          </w:p>
        </w:tc>
      </w:tr>
    </w:tbl>
    <w:p w:rsidR="00C41CDA" w:rsidRDefault="00C41CDA"/>
    <w:p w:rsidR="00C41CDA" w:rsidRDefault="00C41CDA"/>
    <w:p w:rsidR="00C41CDA" w:rsidRDefault="00724646">
      <w:pPr>
        <w:jc w:val="both"/>
      </w:pPr>
      <w:r>
        <w:rPr>
          <w:b/>
          <w:i/>
          <w:color w:val="0000FF"/>
          <w:sz w:val="26"/>
        </w:rPr>
        <w:t>→ Associations, autres, structures associées</w:t>
      </w:r>
    </w:p>
    <w:p w:rsidR="00C41CDA" w:rsidRDefault="00C41CDA">
      <w:pPr>
        <w:jc w:val="both"/>
      </w:pPr>
    </w:p>
    <w:tbl>
      <w:tblPr>
        <w:tblW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681"/>
      </w:tblGrid>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sz w:val="20"/>
                <w:szCs w:val="20"/>
              </w:rPr>
              <w:t>BIPM</w:t>
            </w:r>
          </w:p>
        </w:tc>
      </w:tr>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FHITM</w:t>
            </w:r>
          </w:p>
        </w:tc>
      </w:tr>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sz w:val="20"/>
                <w:szCs w:val="20"/>
              </w:rPr>
              <w:t>OSCILLOQUARZ</w:t>
            </w:r>
          </w:p>
        </w:tc>
      </w:tr>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RENATER</w:t>
            </w:r>
          </w:p>
        </w:tc>
      </w:tr>
      <w:tr w:rsidR="00C41CDA">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SFMC</w:t>
            </w:r>
          </w:p>
        </w:tc>
      </w:tr>
    </w:tbl>
    <w:p w:rsidR="00C41CDA" w:rsidRDefault="00C41CDA"/>
    <w:p w:rsidR="00C41CDA" w:rsidRDefault="00C41CDA"/>
    <w:p w:rsidR="00C41CDA" w:rsidRDefault="00C41CDA"/>
    <w:p w:rsidR="00C41CDA" w:rsidRDefault="00C41CDA"/>
    <w:p w:rsidR="00C41CDA" w:rsidRDefault="00C41CDA"/>
    <w:p w:rsidR="00C41CDA" w:rsidRDefault="00C41CDA"/>
    <w:p w:rsidR="00C41CDA" w:rsidRDefault="00724646">
      <w:pPr>
        <w:jc w:val="center"/>
      </w:pPr>
      <w:r>
        <w:rPr>
          <w:b/>
          <w:sz w:val="28"/>
        </w:rPr>
        <w:t xml:space="preserve">ANNEXE 2 – Liste des établissements tutelles/partenaires de FIRST-TF </w:t>
      </w:r>
    </w:p>
    <w:p w:rsidR="00C41CDA" w:rsidRDefault="00C41CDA" w:rsidP="00AF7C27">
      <w:pPr>
        <w:rPr>
          <w:b/>
          <w:sz w:val="28"/>
        </w:rPr>
      </w:pPr>
    </w:p>
    <w:p w:rsidR="00AF7C27" w:rsidRDefault="00AF7C27" w:rsidP="00AF7C27">
      <w:pPr>
        <w:rPr>
          <w:b/>
          <w:sz w:val="28"/>
        </w:rPr>
      </w:pPr>
    </w:p>
    <w:tbl>
      <w:tblPr>
        <w:tblW w:w="3909"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909"/>
      </w:tblGrid>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CNRS</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ENSMM</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LNE</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color w:val="000000"/>
              </w:rPr>
            </w:pPr>
            <w:r>
              <w:rPr>
                <w:rFonts w:ascii="Liberation Sans" w:hAnsi="Liberation Sans"/>
                <w:color w:val="000000"/>
                <w:sz w:val="20"/>
                <w:szCs w:val="20"/>
              </w:rPr>
              <w:t>OCA (composante de l’UCA)</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OP</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SU</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UCA</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UFC</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USPN</w:t>
            </w:r>
          </w:p>
        </w:tc>
      </w:tr>
      <w:tr w:rsidR="00C41CDA">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1CDA" w:rsidRDefault="00724646">
            <w:pPr>
              <w:rPr>
                <w:rFonts w:ascii="Liberation Sans" w:hAnsi="Liberation Sans" w:hint="eastAsia"/>
                <w:sz w:val="20"/>
                <w:szCs w:val="20"/>
              </w:rPr>
            </w:pPr>
            <w:r>
              <w:rPr>
                <w:rFonts w:ascii="Liberation Sans" w:hAnsi="Liberation Sans"/>
                <w:color w:val="000000"/>
                <w:sz w:val="20"/>
                <w:szCs w:val="20"/>
              </w:rPr>
              <w:t>UTBM</w:t>
            </w:r>
          </w:p>
        </w:tc>
      </w:tr>
    </w:tbl>
    <w:p w:rsidR="00C41CDA" w:rsidRDefault="00C41CDA"/>
    <w:sectPr w:rsidR="00C41CDA" w:rsidSect="00E16F56">
      <w:headerReference w:type="default" r:id="rId13"/>
      <w:footerReference w:type="default" r:id="rId14"/>
      <w:footerReference w:type="first" r:id="rId15"/>
      <w:pgSz w:w="11906" w:h="16838"/>
      <w:pgMar w:top="1418" w:right="1418" w:bottom="1418" w:left="1418" w:header="68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5EB2" w:rsidRDefault="00415EB2">
      <w:r>
        <w:separator/>
      </w:r>
    </w:p>
  </w:endnote>
  <w:endnote w:type="continuationSeparator" w:id="0">
    <w:p w:rsidR="00415EB2" w:rsidRDefault="0041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CDA" w:rsidRDefault="00724646" w:rsidP="00E16F56">
    <w:pPr>
      <w:pStyle w:val="Pieddepage"/>
      <w:rPr>
        <w:rStyle w:val="Numrodepage"/>
      </w:rPr>
    </w:pPr>
    <w:r>
      <w:rPr>
        <w:noProof/>
      </w:rPr>
      <w:drawing>
        <wp:anchor distT="0" distB="0" distL="0" distR="0" simplePos="0" relativeHeight="15" behindDoc="1" locked="0" layoutInCell="1" allowOverlap="1">
          <wp:simplePos x="0" y="0"/>
          <wp:positionH relativeFrom="column">
            <wp:align>center</wp:align>
          </wp:positionH>
          <wp:positionV relativeFrom="paragraph">
            <wp:posOffset>635</wp:posOffset>
          </wp:positionV>
          <wp:extent cx="7447915" cy="427990"/>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
                  <a:stretch>
                    <a:fillRect/>
                  </a:stretch>
                </pic:blipFill>
                <pic:spPr bwMode="auto">
                  <a:xfrm>
                    <a:off x="0" y="0"/>
                    <a:ext cx="7447915" cy="427990"/>
                  </a:xfrm>
                  <a:prstGeom prst="rect">
                    <a:avLst/>
                  </a:prstGeom>
                </pic:spPr>
              </pic:pic>
            </a:graphicData>
          </a:graphic>
        </wp:anchor>
      </w:drawing>
    </w:r>
  </w:p>
  <w:p w:rsidR="00C41CDA" w:rsidRDefault="00724646">
    <w:pPr>
      <w:pStyle w:val="Pieddepage"/>
      <w:jc w:val="center"/>
    </w:pPr>
    <w:r>
      <w:rPr>
        <w:rStyle w:val="Numrodepage"/>
      </w:rPr>
      <w:fldChar w:fldCharType="begin"/>
    </w:r>
    <w:r>
      <w:rPr>
        <w:rStyle w:val="Numrodepage"/>
      </w:rPr>
      <w:instrText>PAGE</w:instrText>
    </w:r>
    <w:r>
      <w:rPr>
        <w:rStyle w:val="Numrodepage"/>
      </w:rPr>
      <w:fldChar w:fldCharType="separate"/>
    </w:r>
    <w:r>
      <w:rPr>
        <w:rStyle w:val="Numrodepage"/>
      </w:rPr>
      <w:t>5</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Pr>
        <w:rStyle w:val="Numrodepage"/>
      </w:rPr>
      <w:t>5</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CDA" w:rsidRDefault="00724646">
    <w:pPr>
      <w:pStyle w:val="Pieddepage"/>
      <w:jc w:val="center"/>
    </w:pPr>
    <w:r>
      <w:rPr>
        <w:noProof/>
      </w:rPr>
      <w:drawing>
        <wp:anchor distT="0" distB="0" distL="0" distR="0" simplePos="0" relativeHeight="16" behindDoc="1" locked="0" layoutInCell="1" allowOverlap="1">
          <wp:simplePos x="0" y="0"/>
          <wp:positionH relativeFrom="column">
            <wp:align>center</wp:align>
          </wp:positionH>
          <wp:positionV relativeFrom="paragraph">
            <wp:posOffset>635</wp:posOffset>
          </wp:positionV>
          <wp:extent cx="7504430" cy="431165"/>
          <wp:effectExtent l="0" t="0" r="0" b="0"/>
          <wp:wrapSquare wrapText="largest"/>
          <wp:docPr id="1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
                  <a:stretch>
                    <a:fillRect/>
                  </a:stretch>
                </pic:blipFill>
                <pic:spPr bwMode="auto">
                  <a:xfrm>
                    <a:off x="0" y="0"/>
                    <a:ext cx="7504430" cy="431165"/>
                  </a:xfrm>
                  <a:prstGeom prst="rect">
                    <a:avLst/>
                  </a:prstGeom>
                </pic:spPr>
              </pic:pic>
            </a:graphicData>
          </a:graphic>
        </wp:anchor>
      </w:drawing>
    </w: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Pr>
        <w:rStyle w:val="Numrodepage"/>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5EB2" w:rsidRDefault="00415EB2">
      <w:r>
        <w:separator/>
      </w:r>
    </w:p>
  </w:footnote>
  <w:footnote w:type="continuationSeparator" w:id="0">
    <w:p w:rsidR="00415EB2" w:rsidRDefault="0041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CDA" w:rsidRDefault="00724646">
    <w:pPr>
      <w:pStyle w:val="En-tte"/>
      <w:tabs>
        <w:tab w:val="clear" w:pos="4536"/>
        <w:tab w:val="clear" w:pos="9072"/>
      </w:tabs>
      <w:jc w:val="center"/>
    </w:pPr>
    <w:r>
      <w:rPr>
        <w:noProof/>
      </w:rPr>
      <w:drawing>
        <wp:anchor distT="0" distB="5080" distL="114300" distR="119380" simplePos="0" relativeHeight="6" behindDoc="1" locked="0" layoutInCell="1" allowOverlap="1">
          <wp:simplePos x="0" y="0"/>
          <wp:positionH relativeFrom="column">
            <wp:posOffset>-85725</wp:posOffset>
          </wp:positionH>
          <wp:positionV relativeFrom="paragraph">
            <wp:posOffset>-159385</wp:posOffset>
          </wp:positionV>
          <wp:extent cx="1271270" cy="509270"/>
          <wp:effectExtent l="0" t="0" r="0" b="0"/>
          <wp:wrapNone/>
          <wp:docPr id="11" name="Image 11" descr="logoFirs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FirstTF"/>
                  <pic:cNvPicPr>
                    <a:picLocks noChangeAspect="1" noChangeArrowheads="1"/>
                  </pic:cNvPicPr>
                </pic:nvPicPr>
                <pic:blipFill>
                  <a:blip r:embed="rId1"/>
                  <a:srcRect t="21619" b="21619"/>
                  <a:stretch>
                    <a:fillRect/>
                  </a:stretch>
                </pic:blipFill>
                <pic:spPr bwMode="auto">
                  <a:xfrm>
                    <a:off x="0" y="0"/>
                    <a:ext cx="1271270" cy="509270"/>
                  </a:xfrm>
                  <a:prstGeom prst="rect">
                    <a:avLst/>
                  </a:prstGeom>
                </pic:spPr>
              </pic:pic>
            </a:graphicData>
          </a:graphic>
        </wp:anchor>
      </w:drawing>
    </w:r>
    <w:r>
      <w:rPr>
        <w:noProof/>
      </w:rPr>
      <w:drawing>
        <wp:anchor distT="0" distB="9525" distL="114300" distR="0" simplePos="0" relativeHeight="10" behindDoc="1" locked="0" layoutInCell="1" allowOverlap="1">
          <wp:simplePos x="0" y="0"/>
          <wp:positionH relativeFrom="margin">
            <wp:align>right</wp:align>
          </wp:positionH>
          <wp:positionV relativeFrom="paragraph">
            <wp:posOffset>-165735</wp:posOffset>
          </wp:positionV>
          <wp:extent cx="485775" cy="485775"/>
          <wp:effectExtent l="0" t="0" r="0" b="0"/>
          <wp:wrapNone/>
          <wp:docPr id="12" name="Image 1" descr="C:\Users\ccourvoisier\AppData\Local\Microsoft\Windows\INetCache\Content.Word\logo-SGPI-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ccourvoisier\AppData\Local\Microsoft\Windows\INetCache\Content.Word\logo-SGPI-2018.jpg"/>
                  <pic:cNvPicPr>
                    <a:picLocks noChangeAspect="1" noChangeArrowheads="1"/>
                  </pic:cNvPicPr>
                </pic:nvPicPr>
                <pic:blipFill>
                  <a:blip r:embed="rId2"/>
                  <a:stretch>
                    <a:fillRect/>
                  </a:stretch>
                </pic:blipFill>
                <pic:spPr bwMode="auto">
                  <a:xfrm>
                    <a:off x="0" y="0"/>
                    <a:ext cx="485775" cy="485775"/>
                  </a:xfrm>
                  <a:prstGeom prst="rect">
                    <a:avLst/>
                  </a:prstGeom>
                </pic:spPr>
              </pic:pic>
            </a:graphicData>
          </a:graphic>
        </wp:anchor>
      </w:drawing>
    </w:r>
    <w:r>
      <w:rPr>
        <w:b/>
      </w:rPr>
      <w:t xml:space="preserve"> Financement de projets pluriannuels – 202</w:t>
    </w:r>
    <w:r w:rsidR="00E16F56">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137B7"/>
    <w:multiLevelType w:val="multilevel"/>
    <w:tmpl w:val="5204CC90"/>
    <w:lvl w:ilvl="0">
      <w:start w:val="1"/>
      <w:numFmt w:val="bullet"/>
      <w:lvlText w:val=""/>
      <w:lvlJc w:val="left"/>
      <w:pPr>
        <w:tabs>
          <w:tab w:val="num" w:pos="360"/>
        </w:tabs>
        <w:ind w:left="0" w:firstLine="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5B667D"/>
    <w:multiLevelType w:val="multilevel"/>
    <w:tmpl w:val="12B065B2"/>
    <w:lvl w:ilvl="0">
      <w:start w:val="1"/>
      <w:numFmt w:val="bullet"/>
      <w:lvlText w:val=""/>
      <w:lvlJc w:val="left"/>
      <w:pPr>
        <w:tabs>
          <w:tab w:val="num" w:pos="360"/>
        </w:tabs>
        <w:ind w:left="0" w:firstLine="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8F57457"/>
    <w:multiLevelType w:val="multilevel"/>
    <w:tmpl w:val="09C400F6"/>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788"/>
        </w:tabs>
        <w:ind w:left="1428" w:firstLine="0"/>
      </w:pPr>
      <w:rPr>
        <w:rFonts w:ascii="Symbol" w:hAnsi="Symbol" w:cs="Open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77D615AC"/>
    <w:multiLevelType w:val="multilevel"/>
    <w:tmpl w:val="39FCFA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DA"/>
    <w:rsid w:val="002C5EA2"/>
    <w:rsid w:val="00415EB2"/>
    <w:rsid w:val="005627F5"/>
    <w:rsid w:val="00724646"/>
    <w:rsid w:val="007671C0"/>
    <w:rsid w:val="00872280"/>
    <w:rsid w:val="00A05E3B"/>
    <w:rsid w:val="00A42EF0"/>
    <w:rsid w:val="00AF7C27"/>
    <w:rsid w:val="00B71A92"/>
    <w:rsid w:val="00C41CDA"/>
    <w:rsid w:val="00C749AC"/>
    <w:rsid w:val="00C848DD"/>
    <w:rsid w:val="00E16F56"/>
    <w:rsid w:val="00EA6A0A"/>
    <w:rsid w:val="00F422E4"/>
    <w:rsid w:val="00FA6F0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6ED0FFA-94DA-3249-98BC-FFC338FA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3E"/>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6415E9"/>
  </w:style>
  <w:style w:type="character" w:styleId="Marquedecommentaire">
    <w:name w:val="annotation reference"/>
    <w:semiHidden/>
    <w:qFormat/>
    <w:rsid w:val="00E25FA3"/>
    <w:rPr>
      <w:sz w:val="16"/>
      <w:szCs w:val="16"/>
    </w:rPr>
  </w:style>
  <w:style w:type="character" w:customStyle="1" w:styleId="Ancredenotedebasdepage">
    <w:name w:val="Ancre de note de bas de page"/>
    <w:rPr>
      <w:vertAlign w:val="superscript"/>
    </w:rPr>
  </w:style>
  <w:style w:type="character" w:customStyle="1" w:styleId="FootnoteCharacters">
    <w:name w:val="Footnote Characters"/>
    <w:semiHidden/>
    <w:qFormat/>
    <w:rsid w:val="00E679AD"/>
    <w:rPr>
      <w:vertAlign w:val="superscript"/>
    </w:rPr>
  </w:style>
  <w:style w:type="character" w:customStyle="1" w:styleId="LienInternet">
    <w:name w:val="Lien Internet"/>
    <w:rsid w:val="00DA6095"/>
    <w:rPr>
      <w:color w:val="0000FF"/>
      <w:u w:val="single"/>
    </w:rPr>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MS Mincho" w:cs="Times New Roman"/>
    </w:rPr>
  </w:style>
  <w:style w:type="character" w:customStyle="1" w:styleId="ListLabel10">
    <w:name w:val="ListLabel 10"/>
    <w:qFormat/>
    <w:rPr>
      <w:b/>
      <w:color w:val="auto"/>
      <w:sz w:val="2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MS Mincho"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color w:val="auto"/>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color w:val="auto"/>
      <w:sz w:val="28"/>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sz w:val="28"/>
      <w:szCs w:val="28"/>
    </w:rPr>
  </w:style>
  <w:style w:type="character" w:customStyle="1" w:styleId="ListLabel26">
    <w:name w:val="ListLabel 26"/>
    <w:qFormat/>
  </w:style>
  <w:style w:type="character" w:customStyle="1" w:styleId="ListLabel27">
    <w:name w:val="ListLabel 27"/>
    <w:qFormat/>
    <w:rPr>
      <w:sz w:val="22"/>
    </w:rPr>
  </w:style>
  <w:style w:type="character" w:customStyle="1" w:styleId="ListLabel28">
    <w:name w:val="ListLabel 28"/>
    <w:qFormat/>
    <w:rPr>
      <w:b/>
    </w:rPr>
  </w:style>
  <w:style w:type="character" w:customStyle="1" w:styleId="ListLabel29">
    <w:name w:val="ListLabel 29"/>
    <w:qFormat/>
    <w:rPr>
      <w:rFonts w:cs="Times New Roman"/>
    </w:rPr>
  </w:style>
  <w:style w:type="character" w:customStyle="1" w:styleId="ListLabel30">
    <w:name w:val="ListLabel 30"/>
    <w:qFormat/>
    <w:rPr>
      <w:rFonts w:cs="Symbol"/>
      <w:b/>
      <w:color w:val="auto"/>
      <w:sz w:val="28"/>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b/>
      <w:color w:val="auto"/>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b/>
      <w:color w:val="auto"/>
      <w:sz w:val="28"/>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sz w:val="28"/>
      <w:szCs w:val="28"/>
    </w:rPr>
  </w:style>
  <w:style w:type="character" w:customStyle="1" w:styleId="ListLabel57">
    <w:name w:val="ListLabel 57"/>
    <w:qFormat/>
    <w:rPr>
      <w:sz w:val="22"/>
    </w:rPr>
  </w:style>
  <w:style w:type="character" w:customStyle="1" w:styleId="ListLabel58">
    <w:name w:val="ListLabel 58"/>
    <w:qFormat/>
    <w:rPr>
      <w:b/>
    </w:rPr>
  </w:style>
  <w:style w:type="character" w:customStyle="1" w:styleId="ListLabel59">
    <w:name w:val="ListLabel 59"/>
    <w:qFormat/>
    <w:rPr>
      <w:rFonts w:cs="Times New Roman"/>
    </w:rPr>
  </w:style>
  <w:style w:type="character" w:customStyle="1" w:styleId="ListLabel60">
    <w:name w:val="ListLabel 60"/>
    <w:qFormat/>
    <w:rPr>
      <w:rFonts w:cs="Symbol"/>
      <w:b/>
      <w:color w:val="auto"/>
      <w:sz w:val="28"/>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color w:val="auto"/>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b/>
      <w:color w:val="auto"/>
      <w:sz w:val="28"/>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b/>
      <w:sz w:val="28"/>
      <w:szCs w:val="28"/>
    </w:rPr>
  </w:style>
  <w:style w:type="character" w:customStyle="1" w:styleId="ListLabel87">
    <w:name w:val="ListLabel 87"/>
    <w:qFormat/>
    <w:rPr>
      <w:sz w:val="22"/>
    </w:rPr>
  </w:style>
  <w:style w:type="character" w:customStyle="1" w:styleId="ListLabel88">
    <w:name w:val="ListLabel 88"/>
    <w:qFormat/>
    <w:rPr>
      <w:b/>
    </w:rPr>
  </w:style>
  <w:style w:type="character" w:customStyle="1" w:styleId="ListLabel89">
    <w:name w:val="ListLabel 89"/>
    <w:qFormat/>
    <w:rPr>
      <w:rFonts w:cs="Times New Roman"/>
    </w:rPr>
  </w:style>
  <w:style w:type="character" w:customStyle="1" w:styleId="ListLabel90">
    <w:name w:val="ListLabel 90"/>
    <w:qFormat/>
    <w:rPr>
      <w:rFonts w:cs="Symbol"/>
      <w:b/>
      <w:color w:val="auto"/>
      <w:sz w:val="28"/>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b/>
      <w:color w:val="auto"/>
      <w:sz w:val="28"/>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color w:val="auto"/>
      <w:sz w:val="28"/>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sz w:val="28"/>
      <w:szCs w:val="28"/>
    </w:rPr>
  </w:style>
  <w:style w:type="character" w:customStyle="1" w:styleId="ListLabel117">
    <w:name w:val="ListLabel 117"/>
    <w:qFormat/>
    <w:rPr>
      <w:sz w:val="22"/>
    </w:rPr>
  </w:style>
  <w:style w:type="character" w:customStyle="1" w:styleId="ListLabel118">
    <w:name w:val="ListLabel 118"/>
    <w:qFormat/>
    <w:rPr>
      <w:b/>
    </w:rPr>
  </w:style>
  <w:style w:type="character" w:customStyle="1" w:styleId="ListLabel119">
    <w:name w:val="ListLabel 119"/>
    <w:qFormat/>
    <w:rPr>
      <w:rFonts w:cs="Times New Roman"/>
    </w:rPr>
  </w:style>
  <w:style w:type="character" w:customStyle="1" w:styleId="ListLabel120">
    <w:name w:val="ListLabel 120"/>
    <w:qFormat/>
    <w:rPr>
      <w:rFonts w:cs="Symbol"/>
      <w:b/>
      <w:color w:val="auto"/>
      <w:sz w:val="28"/>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b/>
      <w:color w:val="auto"/>
      <w:sz w:val="28"/>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b/>
      <w:color w:val="auto"/>
      <w:sz w:val="2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sz w:val="28"/>
      <w:szCs w:val="28"/>
    </w:rPr>
  </w:style>
  <w:style w:type="character" w:customStyle="1" w:styleId="ListLabel147">
    <w:name w:val="ListLabel 147"/>
    <w:qFormat/>
    <w:rPr>
      <w:sz w:val="22"/>
    </w:rPr>
  </w:style>
  <w:style w:type="character" w:customStyle="1" w:styleId="ListLabel148">
    <w:name w:val="ListLabel 148"/>
    <w:qFormat/>
    <w:rPr>
      <w:b/>
    </w:rPr>
  </w:style>
  <w:style w:type="character" w:customStyle="1" w:styleId="ListLabel149">
    <w:name w:val="ListLabel 149"/>
    <w:qFormat/>
    <w:rPr>
      <w:rFonts w:cs="Times New Roman"/>
    </w:rPr>
  </w:style>
  <w:style w:type="character" w:customStyle="1" w:styleId="ListLabel150">
    <w:name w:val="ListLabel 150"/>
    <w:qFormat/>
    <w:rPr>
      <w:rFonts w:cs="Symbol"/>
      <w:b/>
      <w:color w:val="auto"/>
      <w:sz w:val="28"/>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color w:val="auto"/>
      <w:sz w:val="28"/>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color w:val="auto"/>
      <w:sz w:val="28"/>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sz w:val="28"/>
      <w:szCs w:val="28"/>
    </w:rPr>
  </w:style>
  <w:style w:type="character" w:customStyle="1" w:styleId="ListLabel177">
    <w:name w:val="ListLabel 177"/>
    <w:qFormat/>
    <w:rPr>
      <w:sz w:val="22"/>
    </w:rPr>
  </w:style>
  <w:style w:type="character" w:customStyle="1" w:styleId="ListLabel178">
    <w:name w:val="ListLabel 178"/>
    <w:qFormat/>
    <w:rPr>
      <w:b/>
    </w:rPr>
  </w:style>
  <w:style w:type="character" w:customStyle="1" w:styleId="ListLabel179">
    <w:name w:val="ListLabel 179"/>
    <w:qFormat/>
    <w:rPr>
      <w:rFonts w:cs="Times New Roman"/>
    </w:rPr>
  </w:style>
  <w:style w:type="character" w:customStyle="1" w:styleId="ListLabel180">
    <w:name w:val="ListLabel 180"/>
    <w:qFormat/>
    <w:rPr>
      <w:rFonts w:cs="Symbol"/>
      <w:b/>
      <w:color w:val="auto"/>
      <w:sz w:val="28"/>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color w:val="auto"/>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color w:val="auto"/>
      <w:sz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b/>
      <w:sz w:val="28"/>
      <w:szCs w:val="28"/>
    </w:rPr>
  </w:style>
  <w:style w:type="character" w:customStyle="1" w:styleId="ListLabel207">
    <w:name w:val="ListLabel 207"/>
    <w:qFormat/>
    <w:rPr>
      <w:sz w:val="22"/>
    </w:rPr>
  </w:style>
  <w:style w:type="character" w:customStyle="1" w:styleId="ListLabel208">
    <w:name w:val="ListLabel 208"/>
    <w:qFormat/>
    <w:rPr>
      <w:b/>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tte">
    <w:name w:val="header"/>
    <w:basedOn w:val="Normal"/>
    <w:rsid w:val="006415E9"/>
    <w:pPr>
      <w:tabs>
        <w:tab w:val="center" w:pos="4536"/>
        <w:tab w:val="right" w:pos="9072"/>
      </w:tabs>
    </w:pPr>
  </w:style>
  <w:style w:type="paragraph" w:styleId="Pieddepage">
    <w:name w:val="footer"/>
    <w:basedOn w:val="Normal"/>
    <w:rsid w:val="006415E9"/>
    <w:pPr>
      <w:tabs>
        <w:tab w:val="center" w:pos="4536"/>
        <w:tab w:val="right" w:pos="9072"/>
      </w:tabs>
    </w:pPr>
  </w:style>
  <w:style w:type="paragraph" w:styleId="Commentaire">
    <w:name w:val="annotation text"/>
    <w:basedOn w:val="Normal"/>
    <w:semiHidden/>
    <w:qFormat/>
    <w:rsid w:val="00E25FA3"/>
    <w:rPr>
      <w:sz w:val="20"/>
      <w:szCs w:val="20"/>
    </w:rPr>
  </w:style>
  <w:style w:type="paragraph" w:styleId="Objetducommentaire">
    <w:name w:val="annotation subject"/>
    <w:basedOn w:val="Commentaire"/>
    <w:semiHidden/>
    <w:qFormat/>
    <w:rsid w:val="00E25FA3"/>
    <w:rPr>
      <w:b/>
      <w:bCs/>
    </w:rPr>
  </w:style>
  <w:style w:type="paragraph" w:styleId="Textedebulles">
    <w:name w:val="Balloon Text"/>
    <w:basedOn w:val="Normal"/>
    <w:semiHidden/>
    <w:qFormat/>
    <w:rsid w:val="00E25FA3"/>
    <w:rPr>
      <w:rFonts w:ascii="Tahoma" w:hAnsi="Tahoma" w:cs="Tahoma"/>
      <w:sz w:val="16"/>
      <w:szCs w:val="16"/>
    </w:rPr>
  </w:style>
  <w:style w:type="paragraph" w:styleId="Notedebasdepage">
    <w:name w:val="footnote text"/>
    <w:basedOn w:val="Normal"/>
    <w:semiHidden/>
    <w:rsid w:val="00E679AD"/>
    <w:rPr>
      <w:sz w:val="20"/>
      <w:szCs w:val="20"/>
    </w:rPr>
  </w:style>
  <w:style w:type="paragraph" w:styleId="Paragraphedeliste">
    <w:name w:val="List Paragraph"/>
    <w:basedOn w:val="Normal"/>
    <w:uiPriority w:val="34"/>
    <w:qFormat/>
    <w:rsid w:val="00D916A1"/>
    <w:pPr>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rsid w:val="000C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88044">
      <w:bodyDiv w:val="1"/>
      <w:marLeft w:val="0"/>
      <w:marRight w:val="0"/>
      <w:marTop w:val="0"/>
      <w:marBottom w:val="0"/>
      <w:divBdr>
        <w:top w:val="none" w:sz="0" w:space="0" w:color="auto"/>
        <w:left w:val="none" w:sz="0" w:space="0" w:color="auto"/>
        <w:bottom w:val="none" w:sz="0" w:space="0" w:color="auto"/>
        <w:right w:val="none" w:sz="0" w:space="0" w:color="auto"/>
      </w:divBdr>
    </w:div>
    <w:div w:id="694114008">
      <w:bodyDiv w:val="1"/>
      <w:marLeft w:val="0"/>
      <w:marRight w:val="0"/>
      <w:marTop w:val="0"/>
      <w:marBottom w:val="0"/>
      <w:divBdr>
        <w:top w:val="none" w:sz="0" w:space="0" w:color="auto"/>
        <w:left w:val="none" w:sz="0" w:space="0" w:color="auto"/>
        <w:bottom w:val="none" w:sz="0" w:space="0" w:color="auto"/>
        <w:right w:val="none" w:sz="0" w:space="0" w:color="auto"/>
      </w:divBdr>
    </w:div>
    <w:div w:id="836842976">
      <w:bodyDiv w:val="1"/>
      <w:marLeft w:val="0"/>
      <w:marRight w:val="0"/>
      <w:marTop w:val="0"/>
      <w:marBottom w:val="0"/>
      <w:divBdr>
        <w:top w:val="none" w:sz="0" w:space="0" w:color="auto"/>
        <w:left w:val="none" w:sz="0" w:space="0" w:color="auto"/>
        <w:bottom w:val="none" w:sz="0" w:space="0" w:color="auto"/>
        <w:right w:val="none" w:sz="0" w:space="0" w:color="auto"/>
      </w:divBdr>
    </w:div>
    <w:div w:id="911738579">
      <w:bodyDiv w:val="1"/>
      <w:marLeft w:val="0"/>
      <w:marRight w:val="0"/>
      <w:marTop w:val="0"/>
      <w:marBottom w:val="0"/>
      <w:divBdr>
        <w:top w:val="none" w:sz="0" w:space="0" w:color="auto"/>
        <w:left w:val="none" w:sz="0" w:space="0" w:color="auto"/>
        <w:bottom w:val="none" w:sz="0" w:space="0" w:color="auto"/>
        <w:right w:val="none" w:sz="0" w:space="0" w:color="auto"/>
      </w:divBdr>
    </w:div>
    <w:div w:id="1501311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first-t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first-t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o@first-tf.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903A-A29C-41C5-9EC7-076CEEC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1132</Words>
  <Characters>6227</Characters>
  <Application>Microsoft Office Word</Application>
  <DocSecurity>0</DocSecurity>
  <Lines>51</Lines>
  <Paragraphs>14</Paragraphs>
  <ScaleCrop>false</ScaleCrop>
  <Company>SYRTE - OBservatoire de Paris</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FIRST-TF</dc:title>
  <dc:subject/>
  <dc:creator>Noel</dc:creator>
  <dc:description/>
  <cp:lastModifiedBy>Microsoft Office User</cp:lastModifiedBy>
  <cp:revision>11</cp:revision>
  <cp:lastPrinted>2019-01-02T10:17:00Z</cp:lastPrinted>
  <dcterms:created xsi:type="dcterms:W3CDTF">2021-01-08T13:01:00Z</dcterms:created>
  <dcterms:modified xsi:type="dcterms:W3CDTF">2021-01-15T10:56:00Z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SYRTE - OBservatoire de Paris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